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PR-0001 · Administrative</w:t>
      </w:r>
    </w:p>
    <w:p>
      <w:pPr>
        <w:pStyle w:val="Title"/>
      </w:pPr>
      <w:r>
        <w:t xml:space="preserve">Natural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two rules of fair procedure, their extension from judicial to administrative action, and when they may be excluded.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Kraipak v. Union of India, (1969) 2 SCC 262</w:t>
      </w:r>
    </w:p>
    <w:p>
      <w:pPr>
        <w:pStyle w:val="Bullet"/>
      </w:pPr>
      <w:r>
        <w:t xml:space="preserve">•  Maneka Gandhi v. Union of India, (1978) 1 SCC 248</w:t>
      </w:r>
    </w:p>
    <w:p>
      <w:pPr>
        <w:pStyle w:val="Bullet"/>
      </w:pPr>
      <w:r>
        <w:t xml:space="preserve">•  Ridge v. Baldwin, [1964] AC 40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https://firstprecedent.org/principles/natural-justice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