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PR-0143 · International (Public)</w:t>
      </w:r>
    </w:p>
    <w:p>
      <w:pPr>
        <w:pStyle w:val="Title"/>
      </w:pPr>
      <w:r>
        <w:t xml:space="preserve">National Treatment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imported goods, once inside the border, be treated no worse than like domestic goods.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Agreement on Tariffs and Trade, art. III, Oct. 30, 1947, 55 U.N.T.S. 194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https://firstprecedent.org/principles/national-treatment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