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PR-0142 · International (Public)</w:t>
      </w:r>
    </w:p>
    <w:p>
      <w:pPr>
        <w:pStyle w:val="Title"/>
      </w:pPr>
      <w:r>
        <w:t xml:space="preserve">Most-Favoured-Nation Treatment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of trade law that an advantage given to one member must be given to 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Agreement on Tariffs and Trade, art. I, Oct. 30, 1947, 55 U.N.T.S. 194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https://firstprecedent.org/principles/most-favoured-nation-treatment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