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PR-0023 · Arbitration</w:t>
      </w:r>
    </w:p>
    <w:p>
      <w:pPr>
        <w:pStyle w:val="Title"/>
      </w:pPr>
      <w:r>
        <w:t xml:space="preserve">Minimal Judicial Intervention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Section 5 and the policy that courts keep out of arbitration except where the Act allows.</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5</w:t>
      </w:r>
    </w:p>
    <w:p>
      <w:pPr>
        <w:pStyle w:val="Bullet"/>
      </w:pPr>
      <w:r>
        <w:t xml:space="preserve">•  Ssangyong Engineering &amp; Construction Co. Ltd. v. NHAI, (2019) 15 SCC 131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https://firstprecedent.org/principles/minimal-judicial-intervention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