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PR-0039 · Banking</w:t>
      </w:r>
    </w:p>
    <w:p>
      <w:pPr>
        <w:pStyle w:val="Title"/>
      </w:pPr>
      <w:r>
        <w:t xml:space="preserve">Maximisation of Value in Insolvency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Insolvency Code aims to revive the company and maximise the value of its assets; liquidation is the last resort.</w:t>
      </w:r>
    </w:p>
    <w:p>
      <w:pPr>
        <w:pStyle w:val="Guidance"/>
      </w:pPr>
      <w:r>
        <w:t xml:space="preserve">Authorities to start from. These are places to begin, listed by the editors. Read each one in the original and check the citation before you rely on it.</w:t>
      </w:r>
    </w:p>
    <w:p>
      <w:pPr>
        <w:pStyle w:val="Bullet"/>
      </w:pPr>
      <w:r>
        <w:t xml:space="preserve">•  Swiss Ribbons (P) Ltd. v. Union of India, (2019) 4 SCC 17</w:t>
      </w:r>
    </w:p>
    <w:p>
      <w:pPr>
        <w:pStyle w:val="Bullet"/>
      </w:pPr>
      <w:r>
        <w:t xml:space="preserve">•  Insolvency and Bankruptcy Code, 2016, preamble</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https://firstprecedent.org/principles/maximisation-of-value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