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PR-0026 · Corporate</w:t>
      </w:r>
    </w:p>
    <w:p>
      <w:pPr>
        <w:pStyle w:val="Title"/>
      </w:pPr>
      <w:r>
        <w:t xml:space="preserve">Majority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company, not the shareholder, sues for wrongs done to it: the rule in Foss v. Harbottle and its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Foss v. Harbottle, (1843) 2 Hare 461</w:t>
      </w:r>
    </w:p>
    <w:p>
      <w:pPr>
        <w:pStyle w:val="Bullet"/>
      </w:pPr>
      <w:r>
        <w:t xml:space="preserve">•  Rajahmundry Electric Supply Corpn. Ltd. v. A. Nageshwara Rao, AIR 1956 SC 213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https://firstprecedent.org/principles/majority-rule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