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PR-0031 · Family</w:t>
      </w:r>
    </w:p>
    <w:p>
      <w:pPr>
        <w:pStyle w:val="Title"/>
      </w:pPr>
      <w:r>
        <w:t xml:space="preserve">Maintenance as a Measure against Destitution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Maintenance under the criminal procedure code as a secular, summary remedy that applies whatever the parties’ personal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125</w:t>
      </w:r>
    </w:p>
    <w:p>
      <w:pPr>
        <w:pStyle w:val="Bullet"/>
      </w:pPr>
      <w:r>
        <w:t xml:space="preserve">•  Rajnesh v. Neha, (2021) 2 SCC 324</w:t>
      </w:r>
    </w:p>
    <w:p>
      <w:pPr>
        <w:pStyle w:val="Bullet"/>
      </w:pPr>
      <w:r>
        <w:t xml:space="preserve">•  Mohd. Ahmed Khan v. Shah Bano Begum, (1985) 2 SCC 556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https://firstprecedent.org/principles/maintenance-against-destitution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