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PR-0034 · Labour</w:t>
      </w:r>
    </w:p>
    <w:p>
      <w:pPr>
        <w:pStyle w:val="Title"/>
      </w:pPr>
      <w:r>
        <w:t xml:space="preserve">Minimum, Fair and Living Wage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Three levels of wage, the employer’s capacity to pay, and why a minimum wage must be paid regardless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Express Newspapers (P) Ltd. v. Union of India, AIR 1958 SC 578</w:t>
      </w:r>
    </w:p>
    <w:p>
      <w:pPr>
        <w:pStyle w:val="Bullet"/>
      </w:pPr>
      <w:r>
        <w:t xml:space="preserve">•  Workmen v. Reptakos Brett &amp; Co. Ltd., (1992) 1 SCC 290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https://firstprecedent.org/principles/living-wage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