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PR-0089 · Civil Procedure</w:t>
      </w:r>
    </w:p>
    <w:p>
      <w:pPr>
        <w:pStyle w:val="Title"/>
      </w:pPr>
      <w:r>
        <w:t xml:space="preserve">Limitation Bars the Remedy, Not the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time-barred debt still exists though it cannot be sued for, and the exception for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Bombay Dyeing &amp; Mfg. Co. Ltd. v. State of Bombay, AIR 1958 SC 328</w:t>
      </w:r>
    </w:p>
    <w:p>
      <w:pPr>
        <w:pStyle w:val="Bullet"/>
      </w:pPr>
      <w:r>
        <w:t xml:space="preserve">•  Punjab National Bank v. Surendra Prasad Sinha, 1993 Supp (1) SCC 499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https://firstprecedent.org/principles/limitation-bars-the-remedy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