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PR-0164 · Private International</w:t>
      </w:r>
    </w:p>
    <w:p>
      <w:pPr>
        <w:pStyle w:val="Title"/>
      </w:pPr>
      <w:r>
        <w:t xml:space="preserve">Lex Loci Celebrationis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formal validity of a marriage is governed by the law of the place where it was celebrated.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Marriage Act, 1969, § 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https://firstprecedent.org/principles/lex-loci-celebrationis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