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PR-0048 · Human Rights</w:t>
      </w:r>
    </w:p>
    <w:p>
      <w:pPr>
        <w:pStyle w:val="Title"/>
      </w:pPr>
      <w:r>
        <w:t xml:space="preserve">Legal Aid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person who cannot pay for a lawyer is entitled to one at the cost of the State, at trial and before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39A</w:t>
      </w:r>
    </w:p>
    <w:p>
      <w:pPr>
        <w:pStyle w:val="Bullet"/>
      </w:pPr>
      <w:r>
        <w:t xml:space="preserve">•  M.H. Hoskot v. State of Maharashtra, (1978) 3 SCC 544</w:t>
      </w:r>
    </w:p>
    <w:p>
      <w:pPr>
        <w:pStyle w:val="Bullet"/>
      </w:pPr>
      <w:r>
        <w:t xml:space="preserve">•  Hussainara Khatoon v. State of Bihar, (1980) 1 SCC 98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https://firstprecedent.org/principles/legal-aid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