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PR-0171 · Constitutional</w:t>
      </w:r>
    </w:p>
    <w:p>
      <w:pPr>
        <w:pStyle w:val="Title"/>
      </w:pPr>
      <w:r>
        <w:t xml:space="preserve">Latitude in Economic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greater room courts allow the legislature in laws on tax and the economy than in laws touching civil liberties.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R.K. Garg v. Union of India, (1981) 4 SCC 675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https://firstprecedent.org/principles/latitude-in-economic-legislation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