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PR-0007 · Constitutional</w:t>
      </w:r>
    </w:p>
    <w:p>
      <w:pPr>
        <w:pStyle w:val="Title"/>
      </w:pPr>
      <w:r>
        <w:t xml:space="preserve">Independence of the Judiciary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Security of tenure, appointments and finances as conditions of independence, and the principle’s use in the judges’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Assn. v. Union of India, (1993) 4 SCC 441</w:t>
      </w:r>
    </w:p>
    <w:p>
      <w:pPr>
        <w:pStyle w:val="Bullet"/>
      </w:pPr>
      <w:r>
        <w:t xml:space="preserve">•  Supreme Court Advocates-on-Record Assn. v. Union of India, (2016) 5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https://firstprecedent.org/principles/judicial-independence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