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PR-0049 · Property</w:t>
      </w:r>
    </w:p>
    <w:p>
      <w:pPr>
        <w:pStyle w:val="Title"/>
      </w:pPr>
      <w:r>
        <w:t xml:space="preserve">He Who Seeks Equity Must Do Equity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plaintiff asking for discretionary relief must have performed, or be ready to perform, their own 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16(c)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https://firstprecedent.org/principles/he-who-seeks-equity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