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PR-0172 · Criminal</w:t>
      </w:r>
    </w:p>
    <w:p>
      <w:pPr>
        <w:pStyle w:val="Title"/>
      </w:pPr>
      <w:r>
        <w:t xml:space="preserve">Grounds of Arrest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an arrested person to be told in writing why they are being arrested.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22(1)</w:t>
      </w:r>
    </w:p>
    <w:p>
      <w:pPr>
        <w:pStyle w:val="Bullet"/>
      </w:pPr>
      <w:r>
        <w:t xml:space="preserve">•  Pankaj Bansal v. Union of India, (2024) 7 SCC 576</w:t>
      </w:r>
    </w:p>
    <w:p>
      <w:pPr>
        <w:pStyle w:val="Bullet"/>
      </w:pPr>
      <w:r>
        <w:t xml:space="preserve">•  Prabir Purkayastha v. State (NCT of Delhi), (2024) 8 SCC 254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https://firstprecedent.org/principles/grounds-of-arrest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