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PR-0032 · Family</w:t>
      </w:r>
    </w:p>
    <w:p>
      <w:pPr>
        <w:pStyle w:val="Title"/>
      </w:pPr>
      <w:r>
        <w:t xml:space="preserve">Equality in Succession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Reading succession statutes to remove discrimination against women: daughters, widows and tribal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Vineeta Sharma v. Rakesh Sharma, (2020) 9 SCC 1</w:t>
      </w:r>
    </w:p>
    <w:p>
      <w:pPr>
        <w:pStyle w:val="Bullet"/>
      </w:pPr>
      <w:r>
        <w:t xml:space="preserve">•  Mary Roy v. State of Kerala, (1986) 2 SCC 209</w:t>
      </w:r>
    </w:p>
    <w:p>
      <w:pPr>
        <w:pStyle w:val="Bullet"/>
      </w:pPr>
      <w:r>
        <w:t xml:space="preserve">•  Madhu Kishwar v. State of Bihar, (1996) 5 SCC 125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https://firstprecedent.org/principles/gender-justice-in-succession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