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PR-0158 · International (Public)</w:t>
      </w:r>
    </w:p>
    <w:p>
      <w:pPr>
        <w:pStyle w:val="Title"/>
      </w:pPr>
      <w:r>
        <w:t xml:space="preserve">Freedom of the High Seas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high seas are open to all States for navigation, overflight, fishing and research.</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87,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https://firstprecedent.org/principles/freedom-of-the-high-seas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