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PR-0092 · Contract</w:t>
      </w:r>
    </w:p>
    <w:p>
      <w:pPr>
        <w:pStyle w:val="Title"/>
      </w:pPr>
      <w:r>
        <w:t xml:space="preserve">Freedom of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freedom of parties to make their own bargain, and the limits set by statute, public policy and inequality of bargaining power.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10, 23</w:t>
      </w:r>
    </w:p>
    <w:p>
      <w:pPr>
        <w:pStyle w:val="Bullet"/>
      </w:pPr>
      <w:r>
        <w:t xml:space="preserve">•  Central Inland Water Transport Corpn. Ltd. v. Brojo Nath Ganguly, (1986) 3 SCC 156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https://firstprecedent.org/principles/freedom-of-contract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