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PR-0157 · Environment</w:t>
      </w:r>
    </w:p>
    <w:p>
      <w:pPr>
        <w:pStyle w:val="Title"/>
      </w:pPr>
      <w:r>
        <w:t xml:space="preserve">Five Freedoms of Animals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freedoms from hunger, discomfort, pain, fear and restraint of natural behaviour, read into the animal welfare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Animal Welfare Board of India v. A. Nagaraja, (2014) 7 SCC 547</w:t>
      </w:r>
    </w:p>
    <w:p>
      <w:pPr>
        <w:pStyle w:val="Bullet"/>
      </w:pPr>
      <w:r>
        <w:t xml:space="preserve">•  Animal Welfare Board of India v. Union of India, (2023) 9 SCC 322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https://firstprecedent.org/principles/five-freedoms-of-animals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