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PR-0132 · Arbitration</w:t>
      </w:r>
    </w:p>
    <w:p>
      <w:pPr>
        <w:pStyle w:val="Title"/>
      </w:pPr>
      <w:r>
        <w:t xml:space="preserve">Equal Treatment of Parties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each party to an arbitration be treated equally and given a full opportunity to present its case.</w:t>
      </w:r>
    </w:p>
    <w:p>
      <w:pPr>
        <w:pStyle w:val="Guidance"/>
      </w:pPr>
      <w:r>
        <w:t xml:space="preserve">Authorities to start from. These are places to begin, listed by the editors. Read each one in the original and check the citation before you rely on it.</w:t>
      </w:r>
    </w:p>
    <w:p>
      <w:pPr>
        <w:pStyle w:val="Bullet"/>
      </w:pPr>
      <w:r>
        <w:t xml:space="preserve">•  Arbitration and Conciliation Act, 1996, § 18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https://firstprecedent.org/principles/equal-treatment-of-parties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