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PR-0129 · Environment</w:t>
      </w:r>
    </w:p>
    <w:p>
      <w:pPr>
        <w:pStyle w:val="Title"/>
      </w:pPr>
      <w:r>
        <w:t xml:space="preserve">Environmental Rule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idea that environmental decisions must rest on honest disclosure, sound science and accountable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Hanuman Laxman Aroskar v. Union of India, (2019) 15 SCC 401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https://firstprecedent.org/principles/environmental-rule-of-law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