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PR-0128 · Environment</w:t>
      </w:r>
    </w:p>
    <w:p>
      <w:pPr>
        <w:pStyle w:val="Title"/>
      </w:pPr>
      <w:r>
        <w:t xml:space="preserve">Ecocentrism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view that nature has value in itself apart from human use, adopted by the Supreme Court in cases on endangered species.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Centre for Environmental Law, WWF-I v. Union of India, (2013) 8 SCC 234</w:t>
      </w:r>
    </w:p>
    <w:p>
      <w:pPr>
        <w:pStyle w:val="Bullet"/>
      </w:pPr>
      <w:r>
        <w:t xml:space="preserve">•  T.N. Godavarman Thirumulpad v. Union of India, (2012) 3 SCC 277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https://firstprecedent.org/principles/ecocentrism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