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PR-0108 · Corporate</w:t>
      </w:r>
    </w:p>
    <w:p>
      <w:pPr>
        <w:pStyle w:val="Title"/>
      </w:pPr>
      <w:r>
        <w:t xml:space="preserve">Duty to Stakeholders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director’s duty to act in the interest of the company, its employees, shareholders, the community and the environment together.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166(2)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https://firstprecedent.org/principles/duty-to-stakeholders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