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PR-0004 · Administrative</w:t>
      </w:r>
    </w:p>
    <w:p>
      <w:pPr>
        <w:pStyle w:val="Title"/>
      </w:pPr>
      <w:r>
        <w:t xml:space="preserve">The Duty to Give Reasons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Whether a decision-maker must explain itself: the reasoned order as a third principle of natural justice.</w:t>
      </w:r>
    </w:p>
    <w:p>
      <w:pPr>
        <w:pStyle w:val="Guidance"/>
      </w:pPr>
      <w:r>
        <w:t xml:space="preserve">Authorities to start from. These are places to begin, listed by the editors. Read each one in the original and check the citation before you rely on it.</w:t>
      </w:r>
    </w:p>
    <w:p>
      <w:pPr>
        <w:pStyle w:val="Bullet"/>
      </w:pPr>
      <w:r>
        <w:t xml:space="preserve">•  S.N. Mukherjee v. Union of India, (1990) 4 SCC 594</w:t>
      </w:r>
    </w:p>
    <w:p>
      <w:pPr>
        <w:pStyle w:val="Bullet"/>
      </w:pPr>
      <w:r>
        <w:t xml:space="preserve">•  Kranti Associates (P) Ltd. v. Masood Ahmed Khan, (2010) 9 SCC 496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https://firstprecedent.org/principles/duty-to-give-reasons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