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PR-0144 · International (Public)</w:t>
      </w:r>
    </w:p>
    <w:p>
      <w:pPr>
        <w:pStyle w:val="Title"/>
      </w:pPr>
      <w:r>
        <w:t xml:space="preserve">Double Criminality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requirement that the conduct for which extradition is sought be an offence in both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Extradition Act, 1962, § 2(c)</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https://firstprecedent.org/principles/double-criminality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