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PR-0085 · Civil Procedure</w:t>
      </w:r>
    </w:p>
    <w:p>
      <w:pPr>
        <w:pStyle w:val="Title"/>
      </w:pPr>
      <w:r>
        <w:t xml:space="preserve">Dominus Litis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plaintiff’s freedom to choose the forum, the defendants and the relief, and the limits the court places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Kasturi v. Iyyamperumal, (2005) 6 SCC 733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https://firstprecedent.org/principles/dominus-litis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