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PR-0140 · International (Public)</w:t>
      </w:r>
    </w:p>
    <w:p>
      <w:pPr>
        <w:pStyle w:val="Title"/>
      </w:pPr>
      <w:r>
        <w:t xml:space="preserve">Distinction in Armed Conflict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parties to a conflict to tell civilians from combatants and to direct attacks only at military objectives.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Protocol Additional to the Geneva Conventions of 12 August 1949 (Protocol I), arts. 48, 51, June 8, 1977, 1125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https://firstprecedent.org/principles/distinction-in-armed-conflict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