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PR-0037 · Securities</w:t>
      </w:r>
    </w:p>
    <w:p>
      <w:pPr>
        <w:pStyle w:val="Title"/>
      </w:pPr>
      <w:r>
        <w:t xml:space="preserve">Disclosure-Based Regulation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Securities law protects investors by requiring full and timely disclosure, not by judging the merits of an investment.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(Listing Obligations and Disclosure Requirements) Regulations, 2015</w:t>
      </w:r>
    </w:p>
    <w:p>
      <w:pPr>
        <w:pStyle w:val="Bullet"/>
      </w:pPr>
      <w:r>
        <w:t xml:space="preserve">•  Sahara India Real Estate Corpn. Ltd. v. SEBI, (2013)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https://firstprecedent.org/principles/disclosure-based-regulation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