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PR-0050 · Corporate</w:t>
      </w:r>
    </w:p>
    <w:p>
      <w:pPr>
        <w:pStyle w:val="Title"/>
      </w:pPr>
      <w:r>
        <w:t xml:space="preserve">The Director’s Duty of Loyalty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director must act in good faith for the company and its stakeholders, and must not profit from a conflict of interest.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https://firstprecedent.org/principles/directors-duty-of-loyalty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