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PR-0107 · Corporate</w:t>
      </w:r>
    </w:p>
    <w:p>
      <w:pPr>
        <w:pStyle w:val="Title"/>
      </w:pPr>
      <w:r>
        <w:t xml:space="preserve">Director’s Duty of Care, Skill and Diligence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statutory duty to act with due and reasonable care and independent judgment, and the standard by which it is measured.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Companies Act, 2013, § 166(3)</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https://firstprecedent.org/principles/directors-duty-of-care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