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PR-0119 · Tax</w:t>
      </w:r>
    </w:p>
    <w:p>
      <w:pPr>
        <w:pStyle w:val="Title"/>
      </w:pPr>
      <w:r>
        <w:t xml:space="preserve">Destination Principle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tax on consumption goes to the State where the goods or services are consumed, not where they originate.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Constitution (One Hundred and First Amendment) Act, 2016</w:t>
      </w:r>
    </w:p>
    <w:p>
      <w:pPr>
        <w:pStyle w:val="Bullet"/>
      </w:pPr>
      <w:r>
        <w:t xml:space="preserve">•  Integrated Goods and Services Tax Act, 2017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https://firstprecedent.org/principles/destination-principle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