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Principle · PR-0174 · Banking</w:t>
      </w:r>
    </w:p>
    <w:p>
      <w:pPr>
        <w:pStyle w:val="Title"/>
      </w:pPr>
      <w:r>
        <w:t xml:space="preserve">Creditor in Control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standard</w:t>
      </w:r>
    </w:p>
    <w:p>
      <w:pPr>
        <w:pStyle w:val="Guidance"/>
      </w:pPr>
      <w:r>
        <w:t xml:space="preserve">What the principle asks of a court or an authority.</w:t>
      </w:r>
    </w:p>
    <w:p/>
    <w:p>
      <w:pPr>
        <w:pStyle w:val="Heading1"/>
      </w:pPr>
      <w:r>
        <w:t xml:space="preserve">Its source</w:t>
      </w:r>
    </w:p>
    <w:p>
      <w:pPr>
        <w:pStyle w:val="Guidance"/>
      </w:pPr>
      <w:r>
        <w:t xml:space="preserve">The constitutional text, statute or line of cases it rests on.</w:t>
      </w:r>
    </w:p>
    <w:p/>
    <w:p>
      <w:pPr>
        <w:pStyle w:val="Heading1"/>
      </w:pPr>
      <w:r>
        <w:t xml:space="preserve">How much weight it gets</w:t>
      </w:r>
    </w:p>
    <w:p>
      <w:pPr>
        <w:pStyle w:val="Guidance"/>
      </w:pPr>
      <w:r>
        <w:t xml:space="preserve">Cases in which it decided the outcome, and cases in which it did not.</w:t>
      </w:r>
    </w:p>
    <w:p/>
    <w:p>
      <w:pPr>
        <w:pStyle w:val="Heading1"/>
      </w:pPr>
      <w:r>
        <w:t xml:space="preserve">When it gives way</w:t>
      </w:r>
    </w:p>
    <w:p>
      <w:pPr>
        <w:pStyle w:val="Guidance"/>
      </w:pPr>
      <w:r>
        <w:t xml:space="preserve">The competing principles and how courts have balanced them.</w:t>
      </w:r>
    </w:p>
    <w:p/>
    <w:p>
      <w:pPr>
        <w:pStyle w:val="Heading1"/>
      </w:pPr>
      <w:r>
        <w:t xml:space="preserve">What is unsettled</w:t>
      </w:r>
    </w:p>
    <w:p>
      <w:pPr>
        <w:pStyle w:val="Guidance"/>
      </w:pPr>
      <w:r>
        <w:t xml:space="preserve">Where its reach is still argued.</w:t>
      </w:r>
    </w:p>
    <w:p/>
    <w:p>
      <w:pPr>
        <w:pStyle w:val="Heading1"/>
      </w:pPr>
      <w:r>
        <w:t xml:space="preserve">Notes for the writer (delete before submitting)</w:t>
      </w:r>
    </w:p>
    <w:p>
      <w:pPr>
        <w:pStyle w:val="Guidance"/>
      </w:pPr>
      <w:r>
        <w:t xml:space="preserve">Scope of this entry. The shift made by the insolvency code, under which management passes from the debtor to a professional acting for the creditors.</w:t>
      </w:r>
    </w:p>
    <w:p>
      <w:pPr>
        <w:pStyle w:val="Guidance"/>
      </w:pPr>
      <w:r>
        <w:t xml:space="preserve">Authorities to start from. These are places to begin, listed by the editors. Read each one in the original and check the citation before you rely on it.</w:t>
      </w:r>
    </w:p>
    <w:p>
      <w:pPr>
        <w:pStyle w:val="Bullet"/>
      </w:pPr>
      <w:r>
        <w:t xml:space="preserve">•  Innoventive Industries Ltd. v. ICICI Bank, (2018) 1 SCC 407</w:t>
      </w:r>
    </w:p>
    <w:p>
      <w:pPr>
        <w:pStyle w:val="Bullet"/>
      </w:pPr>
      <w:r>
        <w:t xml:space="preserve">•  Swiss Ribbons (P) Ltd. v. Union of India, (2019) 4 SCC 17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https://firstprecedent.org/principles/creditor-in-control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