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PR-0056 · Constitutional</w:t>
      </w:r>
    </w:p>
    <w:p>
      <w:pPr>
        <w:pStyle w:val="Title"/>
      </w:pPr>
      <w:r>
        <w:t xml:space="preserve">Cooperative Federalism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expectation that the Union and States work together within their spheres, and how courts use it to settle conflicts.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(NCT of Delhi) v. Union of India, (2018) 8 SCC 501</w:t>
      </w:r>
    </w:p>
    <w:p>
      <w:pPr>
        <w:pStyle w:val="Bullet"/>
      </w:pPr>
      <w:r>
        <w:t xml:space="preserve">•  Union of India v. Mohit Minerals (P) Ltd., (2022) 10 SCC 700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https://firstprecedent.org/principles/cooperative-federalism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