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PR-0111 · Competition</w:t>
      </w:r>
    </w:p>
    <w:p>
      <w:pPr>
        <w:pStyle w:val="Title"/>
      </w:pPr>
      <w:r>
        <w:t xml:space="preserve">Consumer Welfare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interest of consumers as the stated aim of competition law, and how it guides the Commission’s reading of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preamble and § 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https://firstprecedent.org/principles/consumer-welfare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