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PR-0116 · Tax</w:t>
      </w:r>
    </w:p>
    <w:p>
      <w:pPr>
        <w:pStyle w:val="Title"/>
      </w:pPr>
      <w:r>
        <w:t xml:space="preserve">Consistency in Tax</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though each assessment year stands alone, a settled position should not be changed without a change in facts or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Radhasoami Satsang v. CIT, (1992) 1 SCC 659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https://firstprecedent.org/principles/consistency-in-tax</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