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PR-0081 · Evidence</w:t>
      </w:r>
    </w:p>
    <w:p>
      <w:pPr>
        <w:pStyle w:val="Title"/>
      </w:pPr>
      <w:r>
        <w:t xml:space="preserve">Confession of a Co-Accused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limited use of one accused’s confession against another: to lend assurance to other evidence, never as the basis of conviction.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30 (now Bharatiya Sakshya Adhiniyam, 2023, § 24)</w:t>
      </w:r>
    </w:p>
    <w:p>
      <w:pPr>
        <w:pStyle w:val="Bullet"/>
      </w:pPr>
      <w:r>
        <w:t xml:space="preserve">•  Kashmira Singh v. State of M.P., AIR 1952 SC 159</w:t>
      </w:r>
    </w:p>
    <w:p>
      <w:pPr>
        <w:pStyle w:val="Bullet"/>
      </w:pPr>
      <w:r>
        <w:t xml:space="preserve">•  Haricharan Kurmi v. State of Bihar, AIR 1964 SC 1184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https://firstprecedent.org/principles/confession-of-a-co-accused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