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PR-0036 · Competition</w:t>
      </w:r>
    </w:p>
    <w:p>
      <w:pPr>
        <w:pStyle w:val="Title"/>
      </w:pPr>
      <w:r>
        <w:t xml:space="preserve">Competitive Neutrality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Government enterprises are subject to competition law on the same footing as private ones.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2(h)</w:t>
      </w:r>
    </w:p>
    <w:p>
      <w:pPr>
        <w:pStyle w:val="Bullet"/>
      </w:pPr>
      <w:r>
        <w:t xml:space="preserve">•  Coal India Ltd. v. CCI, (2023) 10 SCC 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https://firstprecedent.org/principles/competitive-neutrality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