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PR-0141 · International (Public)</w:t>
      </w:r>
    </w:p>
    <w:p>
      <w:pPr>
        <w:pStyle w:val="Title"/>
      </w:pPr>
      <w:r>
        <w:t xml:space="preserve">Common Heritage of Mankind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the deep seabed and its resources belong to no State and are to be used for the benefit of all.</w:t>
      </w:r>
    </w:p>
    <w:p>
      <w:pPr>
        <w:pStyle w:val="Guidance"/>
      </w:pPr>
      <w:r>
        <w:t xml:space="preserve">Authorities to start from. These are places to begin, listed by the editors. Read each one in the original and check the citation before you rely on it.</w:t>
      </w:r>
    </w:p>
    <w:p>
      <w:pPr>
        <w:pStyle w:val="Bullet"/>
      </w:pPr>
      <w:r>
        <w:t xml:space="preserve">•  United Nations Convention on the Law of the Sea art. 136, Dec. 10, 1982, 1833 U.N.T.S. 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https://firstprecedent.org/principles/common-heritage-of-mankind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