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PR-0043 · Environment</w:t>
      </w:r>
    </w:p>
    <w:p>
      <w:pPr>
        <w:pStyle w:val="Title"/>
      </w:pPr>
      <w:r>
        <w:t xml:space="preserve">Common but Differentiated Responsibilities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All States share responsibility for the global environment, in proportion to their contribution and 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Rio Declaration on Environment and Development, princ. 7, U.N. Doc. A/CONF.151/26 (Vol. I) (1992)</w:t>
      </w:r>
    </w:p>
    <w:p>
      <w:pPr>
        <w:pStyle w:val="Bullet"/>
      </w:pPr>
      <w:r>
        <w:t xml:space="preserve">•  United Nations Framework Convention on Climate Change, art. 3, May 9, 1992, 1771 U.N.T.S. 107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https://firstprecedent.org/principles/common-but-differentiated-responsibilities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