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PR-0109 · Corporate</w:t>
      </w:r>
    </w:p>
    <w:p>
      <w:pPr>
        <w:pStyle w:val="Title"/>
      </w:pPr>
      <w:r>
        <w:t xml:space="preserve">Capital Maintenance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company’s capital is a fund for creditors and may be returned to members only in ways the Act permits.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Trevor v. Whitworth, (1887) 12 App Cas 409</w:t>
      </w:r>
    </w:p>
    <w:p>
      <w:pPr>
        <w:pStyle w:val="Bullet"/>
      </w:pPr>
      <w:r>
        <w:t xml:space="preserve">•  Companies Act, 2013, §§ 66, 67, 68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https://firstprecedent.org/principles/capital-maintenance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