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PR-0016 · Evidence</w:t>
      </w:r>
    </w:p>
    <w:p>
      <w:pPr>
        <w:pStyle w:val="Title"/>
      </w:pPr>
      <w:r>
        <w:t xml:space="preserve">Best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Documents must be proved by primary evidence and their terms cannot be varied by oral evidence: the rule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61–65, 91–92</w:t>
      </w:r>
    </w:p>
    <w:p>
      <w:pPr>
        <w:pStyle w:val="Bullet"/>
      </w:pPr>
      <w:r>
        <w:t xml:space="preserve">•  Roop Kumar v. Mohan Thedani, (2003) 6 SCC 595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https://firstprecedent.org/principles/best-evidence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