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PR-0038 · Banking</w:t>
      </w:r>
    </w:p>
    <w:p>
      <w:pPr>
        <w:pStyle w:val="Title"/>
      </w:pPr>
      <w:r>
        <w:t xml:space="preserve">The Banker’s Duty of Confidentiality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A bank’s implied duty of secrecy and its four recognised exceptions, as received in India.</w:t>
      </w:r>
    </w:p>
    <w:p>
      <w:pPr>
        <w:pStyle w:val="Guidance"/>
      </w:pPr>
      <w:r>
        <w:t xml:space="preserve">Authorities to start from. These are places to begin, listed by the editors. Read each one in the original and check the citation before you rely on it.</w:t>
      </w:r>
    </w:p>
    <w:p>
      <w:pPr>
        <w:pStyle w:val="Bullet"/>
      </w:pPr>
      <w:r>
        <w:t xml:space="preserve">•  Tournier v. National Provincial and Union Bank of England, [1924] 1 KB 461</w:t>
      </w:r>
    </w:p>
    <w:p>
      <w:pPr>
        <w:pStyle w:val="Bullet"/>
      </w:pPr>
      <w:r>
        <w:t xml:space="preserve">•  District Registrar and Collector v. Canara Bank, (2005) 1 SCC 496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https://firstprecedent.org/principles/banker-confidentiality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