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PR-0011 · Criminal</w:t>
      </w:r>
    </w:p>
    <w:p>
      <w:pPr>
        <w:pStyle w:val="Title"/>
      </w:pPr>
      <w:r>
        <w:t xml:space="preserve">Bail, Not Jail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Bail as the rule and custody the exception: the principle, the factors that displace it, and special statutes that reverse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Rajasthan v. Balchand, (1977) 4 SCC 308</w:t>
      </w:r>
    </w:p>
    <w:p>
      <w:pPr>
        <w:pStyle w:val="Bullet"/>
      </w:pPr>
      <w:r>
        <w:t xml:space="preserve">•  Sanjay Chandra v. CBI, (2012) 1 SCC 40</w:t>
      </w:r>
    </w:p>
    <w:p>
      <w:pPr>
        <w:pStyle w:val="Bullet"/>
      </w:pPr>
      <w:r>
        <w:t xml:space="preserve">•  Satender Kumar Antil v. CBI, (2022) 10 SCC 51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https://firstprecedent.org/principles/bail-not-jail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