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PR-0075 · Criminal</w:t>
      </w:r>
    </w:p>
    <w:p>
      <w:pPr>
        <w:pStyle w:val="Title"/>
      </w:pPr>
      <w:r>
        <w:t xml:space="preserve">Anonymity of Victims of Sexual Offences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bar on disclosing the identity of a victim of a sexual offence, and its reach to the press, the police and the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228A (now Bharatiya Nyaya Sanhita, 2023, § 72)</w:t>
      </w:r>
    </w:p>
    <w:p>
      <w:pPr>
        <w:pStyle w:val="Bullet"/>
      </w:pPr>
      <w:r>
        <w:t xml:space="preserve">•  Nipun Saxena v. Union of India, (2019) 2 SCC 703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https://firstprecedent.org/principles/anonymity-of-victims-of-sexual-offences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