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PR-0064 · Administrative</w:t>
      </w:r>
    </w:p>
    <w:p>
      <w:pPr>
        <w:pStyle w:val="Title"/>
      </w:pPr>
      <w:r>
        <w:t xml:space="preserve">Allocation of Natural Resources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standards the State must meet when it parts with scarce public resources, and whether auction is the only fair method.</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Centre for Public Interest Litigation v. Union of India, (2012) 3 SCC 1</w:t>
      </w:r>
    </w:p>
    <w:p>
      <w:pPr>
        <w:pStyle w:val="Bullet"/>
      </w:pPr>
      <w:r>
        <w:t xml:space="preserve">•  In re Natural Resources Allocation, Special Reference No. 1 of 2012, (2012) 10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https://firstprecedent.org/principles/allocation-of-natural-resources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