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PR-0086 · Civil Procedure</w:t>
      </w:r>
    </w:p>
    <w:p>
      <w:pPr>
        <w:pStyle w:val="Title"/>
      </w:pPr>
      <w:r>
        <w:t xml:space="preserve">Actus Curiae Neminem Gravabit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no one should suffer by an act of the court, and the duty to undo an advantage gained under an order later set aside.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South Eastern Coalfields Ltd. v. State of M.P., (2003) 8 SCC 648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https://firstprecedent.org/principles/actus-curiae-neminem-gravabit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