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LN-0026 · Labour</w:t>
      </w:r>
    </w:p>
    <w:p>
      <w:pPr>
        <w:pStyle w:val="Title"/>
      </w:pPr>
      <w:r>
        <w:t xml:space="preserve">Sexual Harassment at Work, from Vishaka to the 2013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Judicial guidelines drawn from an unincorporated treaty, sixteen years as binding law, and their replacement by statute.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Vishaka v. State of Rajasthan, (1997) 6 SCC 241</w:t>
      </w:r>
    </w:p>
    <w:p>
      <w:pPr>
        <w:pStyle w:val="Bullet"/>
      </w:pPr>
      <w:r>
        <w:t xml:space="preserve">•  Medha Kotwal Lele v. Union of India, (2013) 1 SCC 297</w:t>
      </w:r>
    </w:p>
    <w:p>
      <w:pPr>
        <w:pStyle w:val="Bullet"/>
      </w:pPr>
      <w:r>
        <w:t xml:space="preserve">•  Sexual Harassment of Women at Workplace (Prevention, Prohibition and Redressal) Act, 2013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https://firstprecedent.org/lineages/workplace-sexual-harassment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