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LN-0023 · Arbitration</w:t>
      </w:r>
    </w:p>
    <w:p>
      <w:pPr>
        <w:pStyle w:val="Title"/>
      </w:pPr>
      <w:r>
        <w:t xml:space="preserve">Unstamped Arbitration Agreements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Whether an arbitration clause in an unstamped contract can be acted on: five decisions and a seven-judge answer.</w:t>
      </w:r>
    </w:p>
    <w:p>
      <w:pPr>
        <w:pStyle w:val="Guidance"/>
      </w:pPr>
      <w:r>
        <w:t xml:space="preserve">Authorities to start from. These are places to begin, listed by the editors. Read each one in the original and check the citation before you rely on it.</w:t>
      </w:r>
    </w:p>
    <w:p>
      <w:pPr>
        <w:pStyle w:val="Bullet"/>
      </w:pPr>
      <w:r>
        <w:t xml:space="preserve">•  SMS Tea Estates (P) Ltd. v. Chandmari Tea Co. (P) Ltd., (2011) 14 SCC 66</w:t>
      </w:r>
    </w:p>
    <w:p>
      <w:pPr>
        <w:pStyle w:val="Bullet"/>
      </w:pPr>
      <w:r>
        <w:t xml:space="preserve">•  Garware Wall Ropes Ltd. v. Coastal Marine Constructions &amp; Engineering Ltd., (2019) 9 SCC 209</w:t>
      </w:r>
    </w:p>
    <w:p>
      <w:pPr>
        <w:pStyle w:val="Bullet"/>
      </w:pPr>
      <w:r>
        <w:t xml:space="preserve">•  N.N. Global Mercantile (P) Ltd. v. Indo Unique Flame Ltd., (2023) 7 SCC 1</w:t>
      </w:r>
    </w:p>
    <w:p>
      <w:pPr>
        <w:pStyle w:val="Bullet"/>
      </w:pPr>
      <w:r>
        <w:t xml:space="preserve">•  In re Interplay Between Arbitration Agreements under the Arbitration and Conciliation Act, 1996 and the Indian Stamp Act, 1899, (2024) 6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https://firstprecedent.org/lineages/unstamped-arbitration-agreements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