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LN-0031 · Family</w:t>
      </w:r>
    </w:p>
    <w:p>
      <w:pPr>
        <w:pStyle w:val="Title"/>
      </w:pPr>
      <w:r>
        <w:t xml:space="preserve">Triple Talaq, from Shamim Ara to the 2019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Courts first required reasons and reconciliation, then set the practice aside, and Parliament then made it an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Shamim Ara v. State of U.P., (2002) 7 SCC 518</w:t>
      </w:r>
    </w:p>
    <w:p>
      <w:pPr>
        <w:pStyle w:val="Bullet"/>
      </w:pPr>
      <w:r>
        <w:t xml:space="preserve">•  Shayara Bano v. Union of India, (2017) 9 SCC 1</w:t>
      </w:r>
    </w:p>
    <w:p>
      <w:pPr>
        <w:pStyle w:val="Bullet"/>
      </w:pPr>
      <w:r>
        <w:t xml:space="preserve">•  Muslim Women (Protection of Rights on Marriage) Act, 2019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https://firstprecedent.org/lineages/triple-talaq</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