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LN-0062 · International (Public)</w:t>
      </w:r>
    </w:p>
    <w:p>
      <w:pPr>
        <w:pStyle w:val="Title"/>
      </w:pPr>
      <w:r>
        <w:t xml:space="preserve">Treaties in Indian Courts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strict dualism to treaties as aids to construction and sources of unwritten rights.</w:t>
      </w:r>
    </w:p>
    <w:p>
      <w:pPr>
        <w:pStyle w:val="Guidance"/>
      </w:pPr>
      <w:r>
        <w:t xml:space="preserve">Authorities to start from. These are places to begin, listed by the editors. Read each one in the original and check the citation before you rely on it.</w:t>
      </w:r>
    </w:p>
    <w:p>
      <w:pPr>
        <w:pStyle w:val="Bullet"/>
      </w:pPr>
      <w:r>
        <w:t xml:space="preserve">•  Jolly George Varghese v. Bank of Cochin, (1980) 2 SCC 360</w:t>
      </w:r>
    </w:p>
    <w:p>
      <w:pPr>
        <w:pStyle w:val="Bullet"/>
      </w:pPr>
      <w:r>
        <w:t xml:space="preserve">•  Vishaka v. State of Rajasthan, (1997) 6 SCC 241</w:t>
      </w:r>
    </w:p>
    <w:p>
      <w:pPr>
        <w:pStyle w:val="Bullet"/>
      </w:pPr>
      <w:r>
        <w:t xml:space="preserve">•  National Legal Services Authority v. Union of India, (2014) 5 SCC 438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https://firstprecedent.org/lineages/treaties-in-indian-courts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